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5C" w:rsidRDefault="00BF3E5C" w:rsidP="00BF3E5C">
      <w:pPr>
        <w:jc w:val="center"/>
        <w:rPr>
          <w:b/>
          <w:w w:val="50"/>
          <w:kern w:val="56"/>
          <w:sz w:val="92"/>
          <w:szCs w:val="92"/>
        </w:rPr>
      </w:pPr>
    </w:p>
    <w:p w:rsidR="00BF3E5C" w:rsidRDefault="00BF3E5C" w:rsidP="00BF3E5C">
      <w:pPr>
        <w:jc w:val="center"/>
        <w:rPr>
          <w:b/>
          <w:color w:val="FFFFFF"/>
          <w:w w:val="50"/>
          <w:kern w:val="56"/>
          <w:sz w:val="92"/>
          <w:szCs w:val="92"/>
        </w:rPr>
      </w:pPr>
      <w:r>
        <w:rPr>
          <w:rFonts w:hint="eastAsia"/>
          <w:b/>
          <w:color w:val="FFFFFF"/>
          <w:w w:val="50"/>
          <w:kern w:val="56"/>
          <w:sz w:val="92"/>
          <w:szCs w:val="92"/>
        </w:rPr>
        <w:t xml:space="preserve">      </w:t>
      </w:r>
      <w:r>
        <w:rPr>
          <w:rFonts w:hint="eastAsia"/>
          <w:b/>
          <w:color w:val="FF0000"/>
          <w:w w:val="50"/>
          <w:kern w:val="56"/>
          <w:sz w:val="92"/>
          <w:szCs w:val="92"/>
        </w:rPr>
        <w:t xml:space="preserve">  </w:t>
      </w:r>
      <w:r>
        <w:rPr>
          <w:rFonts w:hint="eastAsia"/>
          <w:b/>
          <w:w w:val="50"/>
          <w:kern w:val="56"/>
          <w:sz w:val="92"/>
          <w:szCs w:val="92"/>
        </w:rPr>
        <w:t>教</w:t>
      </w:r>
      <w:r>
        <w:rPr>
          <w:rFonts w:hint="eastAsia"/>
          <w:b/>
          <w:w w:val="50"/>
          <w:kern w:val="56"/>
          <w:sz w:val="92"/>
          <w:szCs w:val="92"/>
        </w:rPr>
        <w:t xml:space="preserve"> </w:t>
      </w:r>
      <w:r>
        <w:rPr>
          <w:rFonts w:hint="eastAsia"/>
          <w:b/>
          <w:w w:val="50"/>
          <w:kern w:val="56"/>
          <w:sz w:val="92"/>
          <w:szCs w:val="92"/>
        </w:rPr>
        <w:t>务</w:t>
      </w:r>
      <w:r>
        <w:rPr>
          <w:rFonts w:hint="eastAsia"/>
          <w:b/>
          <w:w w:val="50"/>
          <w:kern w:val="56"/>
          <w:sz w:val="92"/>
          <w:szCs w:val="92"/>
        </w:rPr>
        <w:t xml:space="preserve"> </w:t>
      </w:r>
      <w:r>
        <w:rPr>
          <w:rFonts w:hint="eastAsia"/>
          <w:b/>
          <w:w w:val="50"/>
          <w:kern w:val="56"/>
          <w:sz w:val="92"/>
          <w:szCs w:val="92"/>
        </w:rPr>
        <w:t>处</w:t>
      </w:r>
      <w:r>
        <w:rPr>
          <w:rFonts w:hint="eastAsia"/>
          <w:b/>
          <w:color w:val="FFFFFF"/>
          <w:w w:val="50"/>
          <w:kern w:val="56"/>
          <w:sz w:val="92"/>
          <w:szCs w:val="92"/>
        </w:rPr>
        <w:t xml:space="preserve">   </w:t>
      </w:r>
    </w:p>
    <w:p w:rsidR="00BF3E5C" w:rsidRDefault="00BF3E5C" w:rsidP="00BF3E5C">
      <w:pPr>
        <w:spacing w:line="520" w:lineRule="exact"/>
        <w:jc w:val="center"/>
        <w:rPr>
          <w:rFonts w:ascii="仿宋_GB2312" w:eastAsia="仿宋_GB2312"/>
          <w:sz w:val="32"/>
          <w:szCs w:val="32"/>
        </w:rPr>
      </w:pPr>
    </w:p>
    <w:p w:rsidR="00BF3E5C" w:rsidRDefault="00BF3E5C" w:rsidP="00BF3E5C">
      <w:pPr>
        <w:spacing w:line="520" w:lineRule="exact"/>
        <w:jc w:val="center"/>
        <w:rPr>
          <w:rFonts w:ascii="仿宋_GB2312" w:eastAsia="仿宋_GB2312"/>
          <w:sz w:val="32"/>
          <w:szCs w:val="32"/>
        </w:rPr>
      </w:pPr>
    </w:p>
    <w:p w:rsidR="00BF3E5C" w:rsidRDefault="00BF3E5C" w:rsidP="00BF3E5C">
      <w:pPr>
        <w:adjustRightInd w:val="0"/>
        <w:snapToGrid w:val="0"/>
        <w:jc w:val="center"/>
        <w:rPr>
          <w:rFonts w:ascii="仿宋_GB2312" w:eastAsia="仿宋_GB2312" w:hAnsi="宋体"/>
        </w:rPr>
      </w:pPr>
      <w:r>
        <w:rPr>
          <w:rFonts w:ascii="仿宋_GB2312" w:eastAsia="仿宋_GB2312" w:hAnsi="宋体" w:hint="eastAsia"/>
          <w:sz w:val="32"/>
          <w:szCs w:val="32"/>
        </w:rPr>
        <w:t>浙传教〔2018〕</w:t>
      </w:r>
      <w:r w:rsidR="0051050F">
        <w:rPr>
          <w:rFonts w:ascii="仿宋_GB2312" w:eastAsia="仿宋_GB2312" w:hAnsi="宋体" w:hint="eastAsia"/>
          <w:sz w:val="32"/>
          <w:szCs w:val="32"/>
        </w:rPr>
        <w:t>125</w:t>
      </w:r>
      <w:r>
        <w:rPr>
          <w:rFonts w:ascii="仿宋_GB2312" w:eastAsia="仿宋_GB2312" w:hAnsi="宋体" w:hint="eastAsia"/>
          <w:sz w:val="32"/>
          <w:szCs w:val="32"/>
        </w:rPr>
        <w:t>号</w:t>
      </w:r>
    </w:p>
    <w:p w:rsidR="00BF3E5C" w:rsidRDefault="00BF3E5C" w:rsidP="00BF3E5C">
      <w:pPr>
        <w:spacing w:line="520" w:lineRule="exact"/>
      </w:pPr>
    </w:p>
    <w:p w:rsidR="00BF3E5C" w:rsidRDefault="00BF3E5C" w:rsidP="00BF3E5C">
      <w:pPr>
        <w:widowControl/>
        <w:jc w:val="center"/>
        <w:rPr>
          <w:rFonts w:ascii="宋体" w:hAnsi="宋体"/>
          <w:b/>
          <w:kern w:val="0"/>
          <w:sz w:val="36"/>
          <w:szCs w:val="36"/>
        </w:rPr>
      </w:pPr>
    </w:p>
    <w:p w:rsidR="00BF3E5C" w:rsidRDefault="00BF3E5C" w:rsidP="00BF3E5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关于做好2019届</w:t>
      </w:r>
    </w:p>
    <w:p w:rsidR="00BF3E5C" w:rsidRDefault="00BF3E5C" w:rsidP="00BF3E5C">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毕业论文 (设计、创作)工作的通知</w:t>
      </w:r>
    </w:p>
    <w:p w:rsidR="00BF3E5C" w:rsidRDefault="00BF3E5C" w:rsidP="00BF3E5C">
      <w:pPr>
        <w:spacing w:line="520" w:lineRule="exact"/>
        <w:jc w:val="center"/>
        <w:rPr>
          <w:rFonts w:ascii="仿宋" w:eastAsia="仿宋" w:hAnsi="仿宋" w:cs="宋体"/>
          <w:kern w:val="0"/>
          <w:sz w:val="32"/>
          <w:szCs w:val="32"/>
        </w:rPr>
      </w:pPr>
    </w:p>
    <w:p w:rsidR="00BF3E5C" w:rsidRDefault="00BF3E5C" w:rsidP="00BF3E5C">
      <w:pPr>
        <w:widowControl/>
        <w:spacing w:beforeLines="100" w:before="312" w:line="560" w:lineRule="exact"/>
        <w:jc w:val="left"/>
        <w:rPr>
          <w:rFonts w:eastAsia="仿宋_GB2312"/>
          <w:sz w:val="32"/>
          <w:szCs w:val="32"/>
        </w:rPr>
      </w:pPr>
      <w:r>
        <w:rPr>
          <w:rFonts w:eastAsia="仿宋_GB2312" w:hint="eastAsia"/>
          <w:sz w:val="32"/>
          <w:szCs w:val="32"/>
        </w:rPr>
        <w:t>各学院（部）：</w:t>
      </w:r>
      <w:r>
        <w:rPr>
          <w:rFonts w:eastAsia="仿宋_GB2312"/>
          <w:sz w:val="32"/>
          <w:szCs w:val="32"/>
        </w:rPr>
        <w:t xml:space="preserve"> </w:t>
      </w:r>
    </w:p>
    <w:p w:rsidR="00BF3E5C" w:rsidRDefault="00BF3E5C" w:rsidP="00BF3E5C">
      <w:pPr>
        <w:widowControl/>
        <w:spacing w:beforeLines="50" w:before="156" w:line="560" w:lineRule="exact"/>
        <w:ind w:firstLine="720"/>
        <w:jc w:val="left"/>
        <w:rPr>
          <w:rFonts w:eastAsia="仿宋_GB2312"/>
          <w:sz w:val="32"/>
          <w:szCs w:val="32"/>
        </w:rPr>
      </w:pPr>
      <w:r>
        <w:rPr>
          <w:rFonts w:eastAsia="仿宋_GB2312" w:hint="eastAsia"/>
          <w:sz w:val="32"/>
          <w:szCs w:val="32"/>
        </w:rPr>
        <w:t>根据《浙江传媒学院本科毕业论文（设计、创作）管理办法》（浙传院教〔</w:t>
      </w:r>
      <w:r>
        <w:rPr>
          <w:rFonts w:eastAsia="仿宋_GB2312" w:hint="eastAsia"/>
          <w:sz w:val="32"/>
          <w:szCs w:val="32"/>
        </w:rPr>
        <w:t>2018</w:t>
      </w:r>
      <w:r>
        <w:rPr>
          <w:rFonts w:eastAsia="仿宋_GB2312" w:hint="eastAsia"/>
          <w:sz w:val="32"/>
          <w:szCs w:val="32"/>
        </w:rPr>
        <w:t>〕</w:t>
      </w:r>
      <w:r>
        <w:rPr>
          <w:rFonts w:eastAsia="仿宋_GB2312" w:hint="eastAsia"/>
          <w:sz w:val="32"/>
          <w:szCs w:val="32"/>
        </w:rPr>
        <w:t>9</w:t>
      </w:r>
      <w:r>
        <w:rPr>
          <w:rFonts w:eastAsia="仿宋_GB2312" w:hint="eastAsia"/>
          <w:sz w:val="32"/>
          <w:szCs w:val="32"/>
        </w:rPr>
        <w:t>号）要求，现启动</w:t>
      </w:r>
      <w:r>
        <w:rPr>
          <w:rFonts w:eastAsia="仿宋_GB2312" w:hint="eastAsia"/>
          <w:sz w:val="32"/>
          <w:szCs w:val="32"/>
        </w:rPr>
        <w:t>2019</w:t>
      </w:r>
      <w:r>
        <w:rPr>
          <w:rFonts w:eastAsia="仿宋_GB2312" w:hint="eastAsia"/>
          <w:sz w:val="32"/>
          <w:szCs w:val="32"/>
        </w:rPr>
        <w:t>届本科毕业论文（设计</w:t>
      </w:r>
      <w:r>
        <w:rPr>
          <w:rFonts w:eastAsia="仿宋_GB2312"/>
          <w:sz w:val="32"/>
          <w:szCs w:val="32"/>
        </w:rPr>
        <w:t>、</w:t>
      </w:r>
      <w:r>
        <w:rPr>
          <w:rFonts w:eastAsia="仿宋_GB2312" w:hint="eastAsia"/>
          <w:sz w:val="32"/>
          <w:szCs w:val="32"/>
        </w:rPr>
        <w:t>创作）工作，以下简称“毕业论文”。</w:t>
      </w:r>
    </w:p>
    <w:p w:rsidR="00BF3E5C" w:rsidRDefault="00BF3E5C" w:rsidP="00BF3E5C">
      <w:pPr>
        <w:widowControl/>
        <w:spacing w:line="560" w:lineRule="exact"/>
        <w:ind w:firstLine="720"/>
        <w:jc w:val="left"/>
        <w:rPr>
          <w:rFonts w:eastAsia="仿宋_GB2312"/>
          <w:sz w:val="32"/>
          <w:szCs w:val="32"/>
        </w:rPr>
      </w:pPr>
      <w:r>
        <w:rPr>
          <w:rFonts w:eastAsia="仿宋_GB2312" w:hint="eastAsia"/>
          <w:color w:val="000000" w:themeColor="text1"/>
          <w:sz w:val="32"/>
          <w:szCs w:val="32"/>
        </w:rPr>
        <w:t>为顺应教育信息化发展趋势，通过对省内高校调研，我校从</w:t>
      </w:r>
      <w:r>
        <w:rPr>
          <w:rFonts w:eastAsia="仿宋_GB2312" w:hint="eastAsia"/>
          <w:color w:val="000000" w:themeColor="text1"/>
          <w:sz w:val="32"/>
          <w:szCs w:val="32"/>
        </w:rPr>
        <w:t>2019</w:t>
      </w:r>
      <w:r>
        <w:rPr>
          <w:rFonts w:eastAsia="仿宋_GB2312" w:hint="eastAsia"/>
          <w:color w:val="000000" w:themeColor="text1"/>
          <w:sz w:val="32"/>
          <w:szCs w:val="32"/>
        </w:rPr>
        <w:t>届毕业论文开始，使用毕业论文智能管理系统，目前已完成两轮培训，</w:t>
      </w:r>
      <w:r>
        <w:rPr>
          <w:rFonts w:eastAsia="仿宋_GB2312" w:hint="eastAsia"/>
          <w:sz w:val="32"/>
          <w:szCs w:val="32"/>
        </w:rPr>
        <w:t>现就本届毕业论文工作提几点要求：</w:t>
      </w:r>
    </w:p>
    <w:p w:rsidR="00BF3E5C" w:rsidRDefault="00BF3E5C" w:rsidP="00BF3E5C">
      <w:pPr>
        <w:widowControl/>
        <w:numPr>
          <w:ilvl w:val="0"/>
          <w:numId w:val="1"/>
        </w:numPr>
        <w:spacing w:line="560" w:lineRule="exact"/>
        <w:ind w:firstLine="720"/>
        <w:jc w:val="left"/>
        <w:rPr>
          <w:rFonts w:eastAsia="仿宋_GB2312"/>
          <w:sz w:val="32"/>
          <w:szCs w:val="32"/>
        </w:rPr>
      </w:pPr>
      <w:r>
        <w:rPr>
          <w:rFonts w:eastAsia="仿宋_GB2312" w:hint="eastAsia"/>
          <w:sz w:val="32"/>
          <w:szCs w:val="32"/>
        </w:rPr>
        <w:t>建立组织机构，高度重视毕业论文工作。各二级学院成立由院长、分管院长担任组长与副组长的毕业论文工作领导小组，小组成员包括系（教研室）主任、院级督导、教学办主任等，组织开展本学院学生毕业论文工作。</w:t>
      </w:r>
    </w:p>
    <w:p w:rsidR="00BF3E5C" w:rsidRDefault="00BF3E5C" w:rsidP="00BF3E5C">
      <w:pPr>
        <w:widowControl/>
        <w:numPr>
          <w:ilvl w:val="0"/>
          <w:numId w:val="1"/>
        </w:numPr>
        <w:spacing w:line="560" w:lineRule="exact"/>
        <w:ind w:firstLine="720"/>
        <w:jc w:val="left"/>
        <w:rPr>
          <w:rFonts w:eastAsia="仿宋_GB2312"/>
          <w:color w:val="000000" w:themeColor="text1"/>
          <w:sz w:val="32"/>
          <w:szCs w:val="32"/>
        </w:rPr>
      </w:pPr>
      <w:r>
        <w:rPr>
          <w:rFonts w:eastAsia="仿宋_GB2312" w:hint="eastAsia"/>
          <w:sz w:val="32"/>
          <w:szCs w:val="32"/>
        </w:rPr>
        <w:lastRenderedPageBreak/>
        <w:t>明确各方职责，加强质量监控。新的管理系统有明晰的角色分工，各学院要进一步明确毕业论文工作领导小组、答辩委员会、答辩小组、系（教研室）和教学办的职责，明确指导教师、评阅教师职责，加强毕业论文过程监管，督促各方按时完成指定内容，以免影响后续进程。</w:t>
      </w:r>
    </w:p>
    <w:p w:rsidR="00BF3E5C" w:rsidRDefault="00BF3E5C" w:rsidP="00BF3E5C">
      <w:pPr>
        <w:widowControl/>
        <w:numPr>
          <w:ilvl w:val="0"/>
          <w:numId w:val="1"/>
        </w:numPr>
        <w:spacing w:line="560" w:lineRule="exact"/>
        <w:ind w:firstLine="720"/>
        <w:jc w:val="left"/>
        <w:rPr>
          <w:rFonts w:eastAsia="仿宋_GB2312"/>
          <w:sz w:val="32"/>
          <w:szCs w:val="32"/>
        </w:rPr>
      </w:pPr>
      <w:r>
        <w:rPr>
          <w:rFonts w:eastAsia="仿宋_GB2312" w:hint="eastAsia"/>
          <w:sz w:val="32"/>
          <w:szCs w:val="32"/>
        </w:rPr>
        <w:t>规范以创作创业成果代替毕业论文。根据《浙江传媒学院毕业论文（设计、创作）替代实施方案》，毕业论文替换工作由学生提出申请，经审核程序，符合条件的可申请替换。以创业成果替代毕业论文的学生，其毕业论文成绩由创业学院出台细则并组织认定。申请以毕业联合创作代替毕业论文的，大学生创新中心要把过程评价材料提供给学生所在学院。</w:t>
      </w:r>
    </w:p>
    <w:p w:rsidR="00BF3E5C" w:rsidRDefault="00BF3E5C" w:rsidP="00BF3E5C">
      <w:pPr>
        <w:widowControl/>
        <w:numPr>
          <w:ilvl w:val="0"/>
          <w:numId w:val="1"/>
        </w:numPr>
        <w:spacing w:line="560" w:lineRule="exact"/>
        <w:ind w:firstLine="720"/>
        <w:jc w:val="left"/>
        <w:rPr>
          <w:rFonts w:eastAsia="仿宋_GB2312"/>
          <w:sz w:val="32"/>
          <w:szCs w:val="32"/>
        </w:rPr>
      </w:pPr>
      <w:r>
        <w:rPr>
          <w:rFonts w:eastAsia="仿宋_GB2312" w:hint="eastAsia"/>
          <w:sz w:val="32"/>
          <w:szCs w:val="32"/>
        </w:rPr>
        <w:t>做好管理系统培训，明确毕业论文各项程序。从审核评估及教学抽查中发现，有些学院对毕业论文流程还存在不够规范的现象，特别是答辩环节。各学院要根据新修订发布的毕业论文管理办法及学校统一安排，细化本学院工作时间表。本届毕业论文工作进程主要分以下几个阶段：</w:t>
      </w:r>
    </w:p>
    <w:p w:rsidR="00BF3E5C" w:rsidRDefault="00BF3E5C" w:rsidP="00BF3E5C">
      <w:pPr>
        <w:widowControl/>
        <w:spacing w:line="560" w:lineRule="exact"/>
        <w:ind w:firstLine="720"/>
        <w:jc w:val="left"/>
        <w:rPr>
          <w:rFonts w:eastAsia="仿宋_GB2312"/>
          <w:color w:val="FF0000"/>
          <w:sz w:val="32"/>
          <w:szCs w:val="32"/>
        </w:rPr>
      </w:pPr>
      <w:r>
        <w:rPr>
          <w:rFonts w:eastAsia="仿宋_GB2312" w:hint="eastAsia"/>
          <w:sz w:val="32"/>
          <w:szCs w:val="32"/>
        </w:rPr>
        <w:t>第一阶段：前期准备阶段。成立组织机构，讨论明确本学院各专业毕业论文工作实施细则，包括本专业毕业论文形式、外文翻译要求与否、成绩评定项目与比例等。</w:t>
      </w:r>
    </w:p>
    <w:p w:rsidR="00BF3E5C" w:rsidRDefault="00BF3E5C" w:rsidP="00BF3E5C">
      <w:pPr>
        <w:widowControl/>
        <w:spacing w:line="560" w:lineRule="exact"/>
        <w:ind w:firstLine="720"/>
        <w:jc w:val="left"/>
        <w:rPr>
          <w:rFonts w:eastAsia="仿宋_GB2312"/>
          <w:sz w:val="32"/>
          <w:szCs w:val="32"/>
        </w:rPr>
      </w:pPr>
      <w:r>
        <w:rPr>
          <w:rFonts w:eastAsia="仿宋_GB2312" w:hint="eastAsia"/>
          <w:sz w:val="32"/>
          <w:szCs w:val="32"/>
        </w:rPr>
        <w:t>第二阶段：选题、下达任务及开题阶段。此阶段要做好师生的双向选择。一人一题，真题真做，鼓励选题从行业需求、从教师课题中来。指导教师下达给学生毕业论文任务，学生根据任务书，做好开题准备，开题汇报要不少于二位教</w:t>
      </w:r>
      <w:r>
        <w:rPr>
          <w:rFonts w:eastAsia="仿宋_GB2312" w:hint="eastAsia"/>
          <w:sz w:val="32"/>
          <w:szCs w:val="32"/>
        </w:rPr>
        <w:lastRenderedPageBreak/>
        <w:t>师共同参与，严把开题关。同时，学院需要确定毕业论文替代的学生名单。</w:t>
      </w:r>
      <w:r>
        <w:rPr>
          <w:rFonts w:eastAsia="仿宋_GB2312" w:hint="eastAsia"/>
          <w:color w:val="000000" w:themeColor="text1"/>
          <w:sz w:val="32"/>
          <w:szCs w:val="32"/>
        </w:rPr>
        <w:t>本阶段各项工作</w:t>
      </w:r>
      <w:r>
        <w:rPr>
          <w:rFonts w:eastAsia="仿宋_GB2312" w:hint="eastAsia"/>
          <w:sz w:val="32"/>
          <w:szCs w:val="32"/>
        </w:rPr>
        <w:t>在</w:t>
      </w:r>
      <w:r>
        <w:rPr>
          <w:rFonts w:eastAsia="仿宋_GB2312" w:hint="eastAsia"/>
          <w:sz w:val="32"/>
          <w:szCs w:val="32"/>
        </w:rPr>
        <w:t>2018-2019</w:t>
      </w:r>
      <w:r>
        <w:rPr>
          <w:rFonts w:eastAsia="仿宋_GB2312" w:hint="eastAsia"/>
          <w:sz w:val="32"/>
          <w:szCs w:val="32"/>
        </w:rPr>
        <w:t>第一学期期末完成。</w:t>
      </w:r>
    </w:p>
    <w:p w:rsidR="00BF3E5C" w:rsidRDefault="00BF3E5C" w:rsidP="00BF3E5C">
      <w:pPr>
        <w:widowControl/>
        <w:spacing w:line="560" w:lineRule="exact"/>
        <w:ind w:firstLine="720"/>
        <w:jc w:val="left"/>
        <w:rPr>
          <w:rFonts w:eastAsia="仿宋_GB2312"/>
          <w:sz w:val="32"/>
          <w:szCs w:val="32"/>
        </w:rPr>
      </w:pPr>
      <w:r>
        <w:rPr>
          <w:rFonts w:eastAsia="仿宋_GB2312" w:hint="eastAsia"/>
          <w:sz w:val="32"/>
          <w:szCs w:val="32"/>
        </w:rPr>
        <w:t>第三阶段：论文撰写阶段。此阶段在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4</w:t>
      </w:r>
      <w:r>
        <w:rPr>
          <w:rFonts w:eastAsia="仿宋_GB2312" w:hint="eastAsia"/>
          <w:sz w:val="32"/>
          <w:szCs w:val="32"/>
        </w:rPr>
        <w:t>月底前完成。指导教师要认真指导，做好指导记录。</w:t>
      </w:r>
    </w:p>
    <w:p w:rsidR="00BF3E5C" w:rsidRDefault="00BF3E5C" w:rsidP="00BF3E5C">
      <w:pPr>
        <w:widowControl/>
        <w:spacing w:line="560" w:lineRule="exact"/>
        <w:ind w:firstLineChars="250" w:firstLine="800"/>
        <w:jc w:val="left"/>
        <w:rPr>
          <w:rFonts w:eastAsia="仿宋_GB2312"/>
          <w:sz w:val="32"/>
          <w:szCs w:val="32"/>
        </w:rPr>
      </w:pPr>
      <w:r>
        <w:rPr>
          <w:rFonts w:eastAsia="仿宋_GB2312" w:hint="eastAsia"/>
          <w:sz w:val="32"/>
          <w:szCs w:val="32"/>
        </w:rPr>
        <w:t>第四阶段：教师评定阶段。</w:t>
      </w:r>
      <w:r>
        <w:rPr>
          <w:rFonts w:eastAsia="仿宋_GB2312" w:hint="eastAsia"/>
          <w:sz w:val="32"/>
          <w:szCs w:val="32"/>
        </w:rPr>
        <w:t>1.</w:t>
      </w:r>
      <w:r>
        <w:rPr>
          <w:rFonts w:eastAsia="仿宋_GB2312" w:hint="eastAsia"/>
          <w:sz w:val="32"/>
          <w:szCs w:val="32"/>
        </w:rPr>
        <w:t>指导教师对所指导学生的论文水平做出评价，明确是否同意学生进入答辩。</w:t>
      </w:r>
      <w:r>
        <w:rPr>
          <w:rFonts w:eastAsia="仿宋_GB2312" w:hint="eastAsia"/>
          <w:sz w:val="32"/>
          <w:szCs w:val="32"/>
        </w:rPr>
        <w:t>2.</w:t>
      </w:r>
      <w:r>
        <w:rPr>
          <w:rFonts w:eastAsia="仿宋_GB2312" w:hint="eastAsia"/>
          <w:sz w:val="32"/>
          <w:szCs w:val="32"/>
        </w:rPr>
        <w:t>评阅教师一般要参加该生的答辩，作为答辩小组成员，前期要对学生论文进行全面审阅，便于更加公正评价。</w:t>
      </w:r>
    </w:p>
    <w:p w:rsidR="00BF3E5C" w:rsidRDefault="00BF3E5C" w:rsidP="00BF3E5C">
      <w:pPr>
        <w:widowControl/>
        <w:spacing w:line="560" w:lineRule="exact"/>
        <w:ind w:firstLineChars="250" w:firstLine="800"/>
        <w:jc w:val="left"/>
        <w:rPr>
          <w:rFonts w:eastAsia="仿宋_GB2312"/>
          <w:sz w:val="32"/>
          <w:szCs w:val="32"/>
        </w:rPr>
      </w:pPr>
      <w:r>
        <w:rPr>
          <w:rFonts w:eastAsia="仿宋_GB2312" w:hint="eastAsia"/>
          <w:sz w:val="32"/>
          <w:szCs w:val="32"/>
        </w:rPr>
        <w:t>第五阶段：毕业论文检测阶段。我校对所有本科生毕业论文进行相似性检测，未通过检测的论文不得进入本次论文答辩阶段，检测工作在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5</w:t>
      </w:r>
      <w:r>
        <w:rPr>
          <w:rFonts w:eastAsia="仿宋_GB2312" w:hint="eastAsia"/>
          <w:sz w:val="32"/>
          <w:szCs w:val="32"/>
        </w:rPr>
        <w:t>月中上旬完成。</w:t>
      </w:r>
    </w:p>
    <w:p w:rsidR="00BF3E5C" w:rsidRDefault="00BF3E5C" w:rsidP="00BF3E5C">
      <w:pPr>
        <w:widowControl/>
        <w:spacing w:line="560" w:lineRule="exact"/>
        <w:ind w:firstLineChars="250" w:firstLine="800"/>
        <w:jc w:val="left"/>
        <w:rPr>
          <w:rFonts w:eastAsia="仿宋_GB2312"/>
          <w:sz w:val="32"/>
          <w:szCs w:val="32"/>
        </w:rPr>
      </w:pPr>
      <w:r>
        <w:rPr>
          <w:rFonts w:eastAsia="仿宋_GB2312" w:hint="eastAsia"/>
          <w:sz w:val="32"/>
          <w:szCs w:val="32"/>
        </w:rPr>
        <w:t>第六阶段：答辩阶段。</w:t>
      </w:r>
      <w:r>
        <w:rPr>
          <w:rFonts w:eastAsia="仿宋_GB2312" w:hint="eastAsia"/>
          <w:sz w:val="32"/>
          <w:szCs w:val="32"/>
        </w:rPr>
        <w:t>1.</w:t>
      </w:r>
      <w:r>
        <w:rPr>
          <w:rFonts w:eastAsia="仿宋_GB2312" w:hint="eastAsia"/>
          <w:sz w:val="32"/>
          <w:szCs w:val="32"/>
        </w:rPr>
        <w:t>成立答辩小组、答辩委员会。</w:t>
      </w:r>
      <w:r>
        <w:rPr>
          <w:rFonts w:eastAsia="仿宋_GB2312" w:hint="eastAsia"/>
          <w:sz w:val="32"/>
          <w:szCs w:val="32"/>
        </w:rPr>
        <w:t>2.</w:t>
      </w:r>
      <w:r>
        <w:rPr>
          <w:rFonts w:eastAsia="仿宋_GB2312" w:hint="eastAsia"/>
          <w:sz w:val="32"/>
          <w:szCs w:val="32"/>
        </w:rPr>
        <w:t>确定缓答辩名单，包括毕业论文未能达到要求或因各种原因请假的学生。缓答辩的学生可在满足答辩要求后提出申请，由学院组织答辩，一般间隔不少于两周。</w:t>
      </w:r>
      <w:r>
        <w:rPr>
          <w:rFonts w:eastAsia="仿宋_GB2312" w:hint="eastAsia"/>
          <w:sz w:val="32"/>
          <w:szCs w:val="32"/>
        </w:rPr>
        <w:t>3.</w:t>
      </w:r>
      <w:r>
        <w:rPr>
          <w:rFonts w:eastAsia="仿宋_GB2312" w:hint="eastAsia"/>
          <w:sz w:val="32"/>
          <w:szCs w:val="32"/>
        </w:rPr>
        <w:t>学生参加答辩，答辩小组评定成绩。</w:t>
      </w:r>
      <w:r>
        <w:rPr>
          <w:rFonts w:eastAsia="仿宋_GB2312" w:hint="eastAsia"/>
          <w:sz w:val="32"/>
          <w:szCs w:val="32"/>
        </w:rPr>
        <w:t>4.</w:t>
      </w:r>
      <w:r>
        <w:rPr>
          <w:rFonts w:eastAsia="仿宋_GB2312" w:hint="eastAsia"/>
          <w:sz w:val="32"/>
          <w:szCs w:val="32"/>
        </w:rPr>
        <w:t>审定答辩成绩。答辩委员会可以采用答辩方式或以答辩小组的成绩确认学生毕业论文答辩成绩，委员会对每位学生只认定一次，答辩成绩计入学生论文组合分，如答辩委员会认定未通过的论文，该生毕业论文教学环节即为不及格，不再具有重修资格。</w:t>
      </w:r>
    </w:p>
    <w:p w:rsidR="00BF3E5C" w:rsidRDefault="00BF3E5C" w:rsidP="00BF3E5C">
      <w:pPr>
        <w:widowControl/>
        <w:spacing w:line="560" w:lineRule="exact"/>
        <w:ind w:firstLine="720"/>
        <w:jc w:val="left"/>
        <w:rPr>
          <w:rFonts w:eastAsia="仿宋_GB2312"/>
          <w:sz w:val="32"/>
          <w:szCs w:val="32"/>
        </w:rPr>
      </w:pPr>
      <w:r>
        <w:rPr>
          <w:rFonts w:eastAsia="仿宋_GB2312" w:hint="eastAsia"/>
          <w:sz w:val="32"/>
          <w:szCs w:val="32"/>
        </w:rPr>
        <w:t>第七阶段：公示、展示与收藏阶段。从</w:t>
      </w:r>
      <w:r>
        <w:rPr>
          <w:rFonts w:eastAsia="仿宋_GB2312" w:hint="eastAsia"/>
          <w:sz w:val="32"/>
          <w:szCs w:val="32"/>
        </w:rPr>
        <w:t>2019</w:t>
      </w:r>
      <w:r>
        <w:rPr>
          <w:rFonts w:eastAsia="仿宋_GB2312" w:hint="eastAsia"/>
          <w:sz w:val="32"/>
          <w:szCs w:val="32"/>
        </w:rPr>
        <w:t>届学生开始，在学院推荐基础上，学校每届评选若干篇优秀毕业论文（设计、创作），并给予奖励。</w:t>
      </w:r>
    </w:p>
    <w:p w:rsidR="00BF3E5C" w:rsidRDefault="00BF3E5C" w:rsidP="00BF3E5C">
      <w:pPr>
        <w:widowControl/>
        <w:spacing w:line="560" w:lineRule="exact"/>
        <w:ind w:firstLine="720"/>
        <w:jc w:val="left"/>
        <w:rPr>
          <w:rFonts w:eastAsia="仿宋_GB2312"/>
          <w:sz w:val="32"/>
          <w:szCs w:val="32"/>
        </w:rPr>
      </w:pPr>
      <w:r>
        <w:rPr>
          <w:rFonts w:eastAsia="仿宋_GB2312" w:hint="eastAsia"/>
          <w:sz w:val="32"/>
          <w:szCs w:val="32"/>
        </w:rPr>
        <w:lastRenderedPageBreak/>
        <w:t>第八阶段：总结、评选优秀指导教师及归档阶段。总结评优在</w:t>
      </w:r>
      <w:r>
        <w:rPr>
          <w:rFonts w:eastAsia="仿宋_GB2312" w:hint="eastAsia"/>
          <w:sz w:val="32"/>
          <w:szCs w:val="32"/>
        </w:rPr>
        <w:t>2019</w:t>
      </w:r>
      <w:r>
        <w:rPr>
          <w:rFonts w:eastAsia="仿宋_GB2312" w:hint="eastAsia"/>
          <w:sz w:val="32"/>
          <w:szCs w:val="32"/>
        </w:rPr>
        <w:t>年短学期期间完成，归档工作在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Pr>
          <w:rFonts w:eastAsia="仿宋_GB2312" w:hint="eastAsia"/>
          <w:sz w:val="32"/>
          <w:szCs w:val="32"/>
        </w:rPr>
        <w:t>月前完成。</w:t>
      </w:r>
    </w:p>
    <w:p w:rsidR="00BF3E5C" w:rsidRDefault="00BF3E5C" w:rsidP="00BF3E5C">
      <w:pPr>
        <w:widowControl/>
        <w:spacing w:line="560" w:lineRule="exact"/>
        <w:ind w:firstLine="720"/>
        <w:jc w:val="left"/>
        <w:rPr>
          <w:rFonts w:eastAsia="仿宋_GB2312"/>
          <w:sz w:val="32"/>
          <w:szCs w:val="32"/>
        </w:rPr>
      </w:pPr>
    </w:p>
    <w:p w:rsidR="00BF3E5C" w:rsidRDefault="00BF3E5C" w:rsidP="00BF3E5C">
      <w:pPr>
        <w:widowControl/>
        <w:spacing w:line="560" w:lineRule="exact"/>
        <w:ind w:firstLine="720"/>
        <w:jc w:val="left"/>
        <w:rPr>
          <w:rFonts w:eastAsia="仿宋_GB2312"/>
          <w:sz w:val="32"/>
          <w:szCs w:val="32"/>
        </w:rPr>
      </w:pPr>
    </w:p>
    <w:p w:rsidR="00BF3E5C" w:rsidRDefault="00BF3E5C" w:rsidP="00BF3E5C">
      <w:pPr>
        <w:widowControl/>
        <w:numPr>
          <w:ilvl w:val="255"/>
          <w:numId w:val="0"/>
        </w:numPr>
        <w:spacing w:line="560" w:lineRule="exact"/>
        <w:ind w:firstLineChars="200" w:firstLine="640"/>
        <w:jc w:val="left"/>
        <w:rPr>
          <w:rFonts w:eastAsia="仿宋_GB2312"/>
          <w:color w:val="000000" w:themeColor="text1"/>
          <w:sz w:val="32"/>
          <w:szCs w:val="32"/>
        </w:rPr>
      </w:pPr>
      <w:r>
        <w:rPr>
          <w:rFonts w:eastAsia="仿宋_GB2312" w:hint="eastAsia"/>
          <w:sz w:val="32"/>
          <w:szCs w:val="32"/>
        </w:rPr>
        <w:t>附件：</w:t>
      </w:r>
      <w:r>
        <w:rPr>
          <w:rFonts w:eastAsia="仿宋_GB2312" w:hint="eastAsia"/>
          <w:color w:val="000000" w:themeColor="text1"/>
          <w:sz w:val="32"/>
          <w:szCs w:val="32"/>
        </w:rPr>
        <w:t>毕业论文（设计、创作）智能管理系统使用说明</w:t>
      </w:r>
    </w:p>
    <w:p w:rsidR="00BF3E5C" w:rsidRDefault="00BF3E5C" w:rsidP="00BF3E5C">
      <w:pPr>
        <w:widowControl/>
        <w:numPr>
          <w:ilvl w:val="255"/>
          <w:numId w:val="0"/>
        </w:numPr>
        <w:spacing w:line="560" w:lineRule="exact"/>
        <w:jc w:val="left"/>
        <w:rPr>
          <w:rFonts w:eastAsia="仿宋_GB2312"/>
          <w:color w:val="FF0000"/>
          <w:sz w:val="32"/>
          <w:szCs w:val="32"/>
        </w:rPr>
      </w:pPr>
    </w:p>
    <w:p w:rsidR="00BF3E5C" w:rsidRDefault="00BF3E5C" w:rsidP="00BF3E5C">
      <w:pPr>
        <w:widowControl/>
        <w:numPr>
          <w:ilvl w:val="255"/>
          <w:numId w:val="0"/>
        </w:numPr>
        <w:spacing w:line="560" w:lineRule="exact"/>
        <w:jc w:val="left"/>
        <w:rPr>
          <w:rFonts w:eastAsia="仿宋_GB2312"/>
          <w:color w:val="FF0000"/>
          <w:sz w:val="32"/>
          <w:szCs w:val="32"/>
        </w:rPr>
      </w:pPr>
    </w:p>
    <w:p w:rsidR="00BF3E5C" w:rsidRDefault="00BF3E5C" w:rsidP="00BF3E5C">
      <w:pPr>
        <w:ind w:leftChars="1650" w:left="3465" w:firstLineChars="600" w:firstLine="1920"/>
        <w:rPr>
          <w:rFonts w:ascii="仿宋_GB2312" w:eastAsia="仿宋_GB2312" w:hAnsi="宋体"/>
          <w:sz w:val="32"/>
          <w:szCs w:val="32"/>
        </w:rPr>
      </w:pPr>
      <w:r>
        <w:rPr>
          <w:rFonts w:ascii="仿宋_GB2312" w:eastAsia="仿宋_GB2312" w:hAnsi="宋体" w:hint="eastAsia"/>
          <w:sz w:val="32"/>
          <w:szCs w:val="32"/>
        </w:rPr>
        <w:t>浙江传媒学院教务处</w:t>
      </w: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920"/>
        <w:rPr>
          <w:rFonts w:ascii="仿宋_GB2312" w:eastAsia="仿宋_GB2312" w:hAnsi="宋体"/>
          <w:sz w:val="32"/>
          <w:szCs w:val="32"/>
        </w:rPr>
      </w:pPr>
    </w:p>
    <w:p w:rsidR="00BF3E5C" w:rsidRDefault="00BF3E5C" w:rsidP="00BF3E5C">
      <w:pPr>
        <w:ind w:leftChars="1650" w:left="3465" w:firstLineChars="600" w:firstLine="1800"/>
        <w:rPr>
          <w:rFonts w:ascii="仿宋" w:eastAsia="仿宋" w:hAnsi="仿宋"/>
          <w:sz w:val="30"/>
          <w:szCs w:val="30"/>
        </w:rPr>
      </w:pPr>
    </w:p>
    <w:p w:rsidR="00BF3E5C" w:rsidRDefault="00BF3E5C" w:rsidP="00BF3E5C">
      <w:pPr>
        <w:ind w:leftChars="1650" w:left="3465" w:firstLineChars="600" w:firstLine="1800"/>
        <w:rPr>
          <w:rFonts w:ascii="仿宋" w:eastAsia="仿宋" w:hAnsi="仿宋"/>
          <w:sz w:val="30"/>
          <w:szCs w:val="30"/>
        </w:rPr>
      </w:pPr>
    </w:p>
    <w:p w:rsidR="00BF3E5C" w:rsidRDefault="00BF3E5C" w:rsidP="00BF3E5C">
      <w:pPr>
        <w:ind w:leftChars="1650" w:left="3465" w:firstLineChars="600" w:firstLine="1800"/>
        <w:rPr>
          <w:rFonts w:ascii="仿宋" w:eastAsia="仿宋" w:hAnsi="仿宋"/>
          <w:sz w:val="30"/>
          <w:szCs w:val="30"/>
        </w:rPr>
      </w:pPr>
    </w:p>
    <w:p w:rsidR="00BF3E5C" w:rsidRDefault="00BF3E5C" w:rsidP="00BF3E5C">
      <w:pPr>
        <w:ind w:leftChars="1650" w:left="3465" w:firstLineChars="600" w:firstLine="1800"/>
        <w:rPr>
          <w:rFonts w:ascii="仿宋" w:eastAsia="仿宋" w:hAnsi="仿宋"/>
          <w:sz w:val="30"/>
          <w:szCs w:val="30"/>
        </w:rPr>
      </w:pPr>
    </w:p>
    <w:p w:rsidR="00BF3E5C" w:rsidRDefault="00BF3E5C" w:rsidP="00BF3E5C">
      <w:pPr>
        <w:spacing w:line="560" w:lineRule="exact"/>
        <w:ind w:firstLineChars="100" w:firstLine="210"/>
        <w:rPr>
          <w:rFonts w:ascii="仿宋_GB2312" w:eastAsia="仿宋_GB2312"/>
          <w:sz w:val="28"/>
          <w:szCs w:val="28"/>
        </w:rPr>
      </w:pPr>
      <w:r>
        <w:rPr>
          <w:noProof/>
        </w:rPr>
        <mc:AlternateContent>
          <mc:Choice Requires="wps">
            <w:drawing>
              <wp:anchor distT="0" distB="0" distL="114300" distR="114300" simplePos="0" relativeHeight="251659264" behindDoc="0" locked="0" layoutInCell="1" allowOverlap="1" wp14:anchorId="53A83C99" wp14:editId="78299F55">
                <wp:simplePos x="0" y="0"/>
                <wp:positionH relativeFrom="column">
                  <wp:posOffset>-93345</wp:posOffset>
                </wp:positionH>
                <wp:positionV relativeFrom="paragraph">
                  <wp:posOffset>10160</wp:posOffset>
                </wp:positionV>
                <wp:extent cx="5579745" cy="0"/>
                <wp:effectExtent l="11430" t="15240" r="9525" b="1333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a:solidFill>
                            <a:srgbClr val="000000"/>
                          </a:solidFill>
                          <a:round/>
                        </a:ln>
                      </wps:spPr>
                      <wps:bodyPr/>
                    </wps:wsp>
                  </a:graphicData>
                </a:graphic>
              </wp:anchor>
            </w:drawing>
          </mc:Choice>
          <mc:Fallback xmlns:mv="urn:schemas-microsoft-com:mac:vml" xmlns:mo="http://schemas.microsoft.com/office/mac/office/2008/main">
            <w:pict>
              <v:line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3pt,.8pt" to="432.0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" strokeweight="1.25pt"/>
            </w:pict>
          </mc:Fallback>
        </mc:AlternateContent>
      </w:r>
      <w:r>
        <w:rPr>
          <w:noProof/>
        </w:rPr>
        <mc:AlternateContent>
          <mc:Choice Requires="wps">
            <w:drawing>
              <wp:anchor distT="0" distB="0" distL="114300" distR="114300" simplePos="0" relativeHeight="251660288" behindDoc="0" locked="0" layoutInCell="1" allowOverlap="1" wp14:anchorId="6FD27357" wp14:editId="779FCD5C">
                <wp:simplePos x="0" y="0"/>
                <wp:positionH relativeFrom="column">
                  <wp:posOffset>-93345</wp:posOffset>
                </wp:positionH>
                <wp:positionV relativeFrom="paragraph">
                  <wp:posOffset>406400</wp:posOffset>
                </wp:positionV>
                <wp:extent cx="5579745" cy="0"/>
                <wp:effectExtent l="11430" t="11430" r="9525" b="1714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a:solidFill>
                            <a:srgbClr val="000000"/>
                          </a:solidFill>
                          <a:round/>
                        </a:ln>
                      </wps:spPr>
                      <wps:bodyPr/>
                    </wps:wsp>
                  </a:graphicData>
                </a:graphic>
              </wp:anchor>
            </w:drawing>
          </mc:Choice>
          <mc:Fallback xmlns:mv="urn:schemas-microsoft-com:mac:vml" xmlns:mo="http://schemas.microsoft.com/office/mac/office/2008/main">
            <w:pict>
              <v:line id="直接连接符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3pt,32pt" to="432.05pt,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" strokeweight="1.25pt"/>
            </w:pict>
          </mc:Fallback>
        </mc:AlternateContent>
      </w:r>
      <w:r>
        <w:rPr>
          <w:rFonts w:eastAsia="仿宋_GB2312" w:hint="eastAsia"/>
          <w:sz w:val="28"/>
          <w:szCs w:val="28"/>
        </w:rPr>
        <w:t>浙江传媒学院教务处</w:t>
      </w:r>
      <w:r>
        <w:rPr>
          <w:rFonts w:eastAsia="仿宋_GB2312" w:hint="eastAsia"/>
          <w:sz w:val="28"/>
          <w:szCs w:val="28"/>
        </w:rPr>
        <w:t xml:space="preserve">                  </w:t>
      </w:r>
      <w:r>
        <w:rPr>
          <w:rFonts w:ascii="仿宋_GB2312" w:eastAsia="仿宋_GB2312" w:hint="eastAsia"/>
          <w:sz w:val="28"/>
          <w:szCs w:val="28"/>
        </w:rPr>
        <w:t xml:space="preserve">  2018年</w:t>
      </w:r>
      <w:r>
        <w:rPr>
          <w:rFonts w:ascii="仿宋_GB2312" w:eastAsia="仿宋_GB2312" w:hint="eastAsia"/>
          <w:color w:val="000000" w:themeColor="text1"/>
          <w:sz w:val="28"/>
          <w:szCs w:val="28"/>
        </w:rPr>
        <w:t>11月8日</w:t>
      </w:r>
      <w:r>
        <w:rPr>
          <w:rFonts w:ascii="仿宋_GB2312" w:eastAsia="仿宋_GB2312" w:hint="eastAsia"/>
          <w:sz w:val="28"/>
          <w:szCs w:val="28"/>
        </w:rPr>
        <w:t>印发</w:t>
      </w:r>
    </w:p>
    <w:p w:rsidR="00BF3E5C" w:rsidRDefault="00BF3E5C" w:rsidP="00BF3E5C">
      <w:pPr>
        <w:widowControl/>
        <w:numPr>
          <w:ilvl w:val="255"/>
          <w:numId w:val="0"/>
        </w:numPr>
        <w:spacing w:line="560" w:lineRule="exact"/>
        <w:jc w:val="left"/>
        <w:rPr>
          <w:rFonts w:eastAsia="仿宋_GB2312"/>
          <w:color w:val="000000" w:themeColor="text1"/>
          <w:sz w:val="32"/>
          <w:szCs w:val="32"/>
        </w:rPr>
      </w:pPr>
    </w:p>
    <w:p w:rsidR="00BF3E5C" w:rsidRDefault="00BF3E5C" w:rsidP="00BF3E5C">
      <w:pPr>
        <w:widowControl/>
        <w:numPr>
          <w:ilvl w:val="255"/>
          <w:numId w:val="0"/>
        </w:numPr>
        <w:spacing w:line="560" w:lineRule="exact"/>
        <w:jc w:val="left"/>
        <w:rPr>
          <w:rFonts w:ascii="黑体" w:eastAsia="黑体" w:hAnsi="黑体" w:cs="黑体"/>
          <w:color w:val="000000" w:themeColor="text1"/>
          <w:sz w:val="32"/>
          <w:szCs w:val="32"/>
        </w:rPr>
      </w:pPr>
      <w:r>
        <w:rPr>
          <w:rFonts w:eastAsia="仿宋_GB2312" w:hint="eastAsia"/>
          <w:color w:val="000000" w:themeColor="text1"/>
          <w:sz w:val="32"/>
          <w:szCs w:val="32"/>
        </w:rPr>
        <w:lastRenderedPageBreak/>
        <w:t>附件：</w:t>
      </w:r>
      <w:r>
        <w:rPr>
          <w:rFonts w:eastAsia="仿宋_GB2312" w:hint="eastAsia"/>
          <w:color w:val="000000" w:themeColor="text1"/>
          <w:sz w:val="32"/>
          <w:szCs w:val="32"/>
        </w:rPr>
        <w:t xml:space="preserve"> </w:t>
      </w:r>
      <w:r>
        <w:rPr>
          <w:rFonts w:ascii="黑体" w:eastAsia="黑体" w:hAnsi="黑体" w:cs="黑体" w:hint="eastAsia"/>
          <w:color w:val="000000" w:themeColor="text1"/>
          <w:sz w:val="32"/>
          <w:szCs w:val="32"/>
        </w:rPr>
        <w:t>毕业论文（设计、创作）智能管理系统使用说明</w:t>
      </w:r>
    </w:p>
    <w:p w:rsidR="00BF3E5C" w:rsidRDefault="00BF3E5C" w:rsidP="00BF3E5C">
      <w:pPr>
        <w:widowControl/>
        <w:spacing w:beforeLines="100" w:before="312" w:line="560" w:lineRule="exact"/>
        <w:ind w:leftChars="150" w:left="315" w:firstLineChars="100" w:firstLine="320"/>
        <w:jc w:val="left"/>
        <w:rPr>
          <w:rFonts w:eastAsia="仿宋_GB2312"/>
          <w:color w:val="000000" w:themeColor="text1"/>
          <w:sz w:val="32"/>
          <w:szCs w:val="32"/>
        </w:rPr>
      </w:pPr>
      <w:r>
        <w:rPr>
          <w:rFonts w:eastAsia="仿宋_GB2312" w:hint="eastAsia"/>
          <w:color w:val="000000" w:themeColor="text1"/>
          <w:sz w:val="32"/>
          <w:szCs w:val="32"/>
        </w:rPr>
        <w:t>启用“毕业论文管理系统”是我校毕业设计（论文）管理方式的重要转变，是提高信息化管理水平的重要举措，各学院要高度重视，认真做好各项准备工作。</w:t>
      </w:r>
    </w:p>
    <w:p w:rsidR="00BF3E5C" w:rsidRDefault="00BF3E5C" w:rsidP="00BF3E5C">
      <w:pPr>
        <w:widowControl/>
        <w:spacing w:line="560" w:lineRule="exact"/>
        <w:ind w:leftChars="150" w:left="315" w:firstLineChars="100" w:firstLine="320"/>
        <w:jc w:val="left"/>
        <w:rPr>
          <w:rFonts w:eastAsia="仿宋_GB2312"/>
          <w:color w:val="000000" w:themeColor="text1"/>
          <w:sz w:val="32"/>
          <w:szCs w:val="32"/>
        </w:rPr>
      </w:pPr>
      <w:r>
        <w:rPr>
          <w:rFonts w:eastAsia="仿宋_GB2312" w:hint="eastAsia"/>
          <w:color w:val="000000" w:themeColor="text1"/>
          <w:sz w:val="32"/>
          <w:szCs w:val="32"/>
        </w:rPr>
        <w:t>一、系统使用对象</w:t>
      </w:r>
    </w:p>
    <w:p w:rsidR="00BF3E5C" w:rsidRDefault="00BF3E5C" w:rsidP="00BF3E5C">
      <w:pPr>
        <w:widowControl/>
        <w:spacing w:line="560" w:lineRule="exact"/>
        <w:ind w:leftChars="150" w:left="315" w:firstLineChars="200" w:firstLine="640"/>
        <w:jc w:val="left"/>
        <w:rPr>
          <w:rFonts w:eastAsia="仿宋_GB2312"/>
          <w:color w:val="000000" w:themeColor="text1"/>
          <w:sz w:val="32"/>
          <w:szCs w:val="32"/>
        </w:rPr>
      </w:pPr>
      <w:r>
        <w:rPr>
          <w:rFonts w:eastAsia="仿宋_GB2312" w:hint="eastAsia"/>
          <w:sz w:val="32"/>
          <w:szCs w:val="32"/>
        </w:rPr>
        <w:t>各学院论文工作领导小组成员、教学办、系（教研室）负责人、</w:t>
      </w:r>
      <w:r>
        <w:rPr>
          <w:rFonts w:eastAsia="仿宋_GB2312" w:hint="eastAsia"/>
          <w:color w:val="000000" w:themeColor="text1"/>
          <w:sz w:val="32"/>
          <w:szCs w:val="32"/>
        </w:rPr>
        <w:t>指导教师、应届本科毕业班学生，每位用户的账号及初始密码为工号或学号。</w:t>
      </w:r>
    </w:p>
    <w:p w:rsidR="00BF3E5C" w:rsidRDefault="00BF3E5C" w:rsidP="00BF3E5C">
      <w:pPr>
        <w:widowControl/>
        <w:spacing w:line="560" w:lineRule="exact"/>
        <w:ind w:firstLineChars="200" w:firstLine="640"/>
        <w:jc w:val="left"/>
        <w:rPr>
          <w:rFonts w:eastAsia="仿宋_GB2312"/>
          <w:color w:val="000000" w:themeColor="text1"/>
          <w:sz w:val="32"/>
          <w:szCs w:val="32"/>
        </w:rPr>
      </w:pPr>
      <w:r>
        <w:rPr>
          <w:rFonts w:eastAsia="仿宋_GB2312" w:hint="eastAsia"/>
          <w:color w:val="000000" w:themeColor="text1"/>
          <w:sz w:val="32"/>
          <w:szCs w:val="32"/>
        </w:rPr>
        <w:t>二、系统登录</w:t>
      </w:r>
    </w:p>
    <w:p w:rsidR="00BF3E5C" w:rsidRDefault="00BF3E5C" w:rsidP="00BF3E5C">
      <w:pPr>
        <w:widowControl/>
        <w:spacing w:line="560" w:lineRule="exact"/>
        <w:ind w:firstLineChars="150" w:firstLine="480"/>
        <w:jc w:val="left"/>
        <w:rPr>
          <w:rFonts w:eastAsia="仿宋_GB2312"/>
          <w:color w:val="000000" w:themeColor="text1"/>
          <w:sz w:val="32"/>
          <w:szCs w:val="32"/>
        </w:rPr>
      </w:pPr>
      <w:r>
        <w:rPr>
          <w:rFonts w:eastAsia="仿宋_GB2312" w:hint="eastAsia"/>
          <w:color w:val="000000" w:themeColor="text1"/>
          <w:sz w:val="32"/>
          <w:szCs w:val="32"/>
        </w:rPr>
        <w:t>（一）登录师生信息门户，点击“教学教务”下的“论文管理系统”。</w:t>
      </w:r>
    </w:p>
    <w:p w:rsidR="00BF3E5C" w:rsidRDefault="00BF3E5C" w:rsidP="00BF3E5C">
      <w:pPr>
        <w:widowControl/>
        <w:spacing w:line="560" w:lineRule="exact"/>
        <w:ind w:leftChars="50" w:left="105" w:firstLineChars="100" w:firstLine="320"/>
        <w:jc w:val="left"/>
        <w:rPr>
          <w:rFonts w:eastAsia="仿宋_GB2312"/>
          <w:color w:val="000000" w:themeColor="text1"/>
          <w:sz w:val="32"/>
          <w:szCs w:val="32"/>
        </w:rPr>
      </w:pPr>
      <w:r>
        <w:rPr>
          <w:rFonts w:eastAsia="仿宋_GB2312" w:hint="eastAsia"/>
          <w:color w:val="000000" w:themeColor="text1"/>
          <w:sz w:val="32"/>
          <w:szCs w:val="32"/>
        </w:rPr>
        <w:t>（二）登录教务处网页，点击“快速通道”下的“毕业论文（设计、创作）智能管理系统”。</w:t>
      </w:r>
    </w:p>
    <w:p w:rsidR="00BF3E5C" w:rsidRDefault="00BF3E5C" w:rsidP="00BF3E5C">
      <w:pPr>
        <w:widowControl/>
        <w:spacing w:line="560" w:lineRule="exact"/>
        <w:ind w:leftChars="50" w:left="105" w:firstLineChars="100" w:firstLine="320"/>
        <w:jc w:val="left"/>
        <w:rPr>
          <w:rFonts w:eastAsia="仿宋_GB2312"/>
          <w:color w:val="000000" w:themeColor="text1"/>
          <w:sz w:val="32"/>
          <w:szCs w:val="32"/>
        </w:rPr>
      </w:pPr>
      <w:r>
        <w:rPr>
          <w:rFonts w:eastAsia="仿宋_GB2312" w:hint="eastAsia"/>
          <w:color w:val="000000" w:themeColor="text1"/>
          <w:sz w:val="32"/>
          <w:szCs w:val="32"/>
        </w:rPr>
        <w:t>（三）直接输入网址</w:t>
      </w:r>
      <w:r>
        <w:rPr>
          <w:rFonts w:eastAsia="仿宋_GB2312"/>
          <w:color w:val="000000" w:themeColor="text1"/>
          <w:sz w:val="32"/>
          <w:szCs w:val="32"/>
        </w:rPr>
        <w:t>http://10.1.254.165/bylw/Index.aspx</w:t>
      </w:r>
      <w:r>
        <w:rPr>
          <w:rFonts w:eastAsia="仿宋_GB2312" w:hint="eastAsia"/>
          <w:color w:val="000000" w:themeColor="text1"/>
          <w:sz w:val="32"/>
          <w:szCs w:val="32"/>
        </w:rPr>
        <w:t>登录。</w:t>
      </w:r>
    </w:p>
    <w:p w:rsidR="00BF3E5C" w:rsidRDefault="00BF3E5C" w:rsidP="00BF3E5C">
      <w:pPr>
        <w:widowControl/>
        <w:spacing w:line="560" w:lineRule="exact"/>
        <w:ind w:firstLineChars="250" w:firstLine="800"/>
        <w:jc w:val="left"/>
        <w:rPr>
          <w:rFonts w:eastAsia="仿宋_GB2312"/>
          <w:color w:val="000000" w:themeColor="text1"/>
          <w:sz w:val="32"/>
          <w:szCs w:val="32"/>
        </w:rPr>
      </w:pPr>
      <w:r>
        <w:rPr>
          <w:rFonts w:eastAsia="仿宋_GB2312" w:hint="eastAsia"/>
          <w:color w:val="000000" w:themeColor="text1"/>
          <w:sz w:val="32"/>
          <w:szCs w:val="32"/>
        </w:rPr>
        <w:t>三、系统培训及使用</w:t>
      </w:r>
    </w:p>
    <w:p w:rsidR="00BF3E5C" w:rsidRDefault="00BF3E5C" w:rsidP="00BF3E5C">
      <w:pPr>
        <w:widowControl/>
        <w:spacing w:line="560" w:lineRule="exact"/>
        <w:ind w:firstLineChars="150" w:firstLine="480"/>
        <w:jc w:val="left"/>
        <w:rPr>
          <w:rFonts w:eastAsia="仿宋_GB2312"/>
          <w:color w:val="000000" w:themeColor="text1"/>
          <w:sz w:val="32"/>
          <w:szCs w:val="32"/>
        </w:rPr>
      </w:pPr>
      <w:r>
        <w:rPr>
          <w:rFonts w:eastAsia="仿宋_GB2312" w:hint="eastAsia"/>
          <w:color w:val="000000" w:themeColor="text1"/>
          <w:sz w:val="32"/>
          <w:szCs w:val="32"/>
        </w:rPr>
        <w:t>（一）教务处已对各学院教学管理人员进行培训。各学院教学管理人员为系统信息管理员，负责本学院人员系统使用、培训和指导工作，负责与教务处实践教学科进行信息反馈与沟通工作。</w:t>
      </w:r>
    </w:p>
    <w:p w:rsidR="00487B84" w:rsidRPr="0051050F" w:rsidRDefault="00BF3E5C" w:rsidP="0051050F">
      <w:pPr>
        <w:widowControl/>
        <w:spacing w:line="560" w:lineRule="exact"/>
        <w:ind w:firstLineChars="150" w:firstLine="480"/>
        <w:jc w:val="left"/>
      </w:pPr>
      <w:r>
        <w:rPr>
          <w:rFonts w:eastAsia="仿宋_GB2312" w:hint="eastAsia"/>
          <w:color w:val="000000" w:themeColor="text1"/>
          <w:sz w:val="32"/>
          <w:szCs w:val="32"/>
        </w:rPr>
        <w:t>（二）“毕业论文（设计）智能管理系统”操作包括选题、任务书、文献综述、开题、指导、论文检测、答辩评分、统计分析等流程，全部通过系统实现无纸化操作。</w:t>
      </w:r>
      <w:bookmarkStart w:id="0" w:name="_GoBack"/>
      <w:bookmarkEnd w:id="0"/>
    </w:p>
    <w:sectPr w:rsidR="00487B84" w:rsidRPr="0051050F" w:rsidSect="0051050F">
      <w:footerReference w:type="default" r:id="rId8"/>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A5" w:rsidRDefault="00ED50A5">
      <w:r>
        <w:separator/>
      </w:r>
    </w:p>
  </w:endnote>
  <w:endnote w:type="continuationSeparator" w:id="0">
    <w:p w:rsidR="00ED50A5" w:rsidRDefault="00ED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21" w:rsidRDefault="00BF3E5C">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1050F" w:rsidRPr="0051050F">
      <w:rPr>
        <w:rFonts w:ascii="宋体" w:hAnsi="宋体"/>
        <w:noProof/>
        <w:kern w:val="0"/>
        <w:sz w:val="28"/>
        <w:szCs w:val="28"/>
      </w:rPr>
      <w:t>-</w:t>
    </w:r>
    <w:r w:rsidR="0051050F">
      <w:rPr>
        <w:noProof/>
        <w:sz w:val="28"/>
        <w:szCs w:val="28"/>
      </w:rPr>
      <w:t xml:space="preserve"> 5 -</w:t>
    </w:r>
    <w:r>
      <w:rPr>
        <w:sz w:val="28"/>
        <w:szCs w:val="28"/>
      </w:rPr>
      <w:fldChar w:fldCharType="end"/>
    </w:r>
  </w:p>
  <w:p w:rsidR="001F1621" w:rsidRDefault="00ED50A5">
    <w:pPr>
      <w:pStyle w:val="a3"/>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A5" w:rsidRDefault="00ED50A5">
      <w:r>
        <w:separator/>
      </w:r>
    </w:p>
  </w:footnote>
  <w:footnote w:type="continuationSeparator" w:id="0">
    <w:p w:rsidR="00ED50A5" w:rsidRDefault="00ED5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D170"/>
    <w:multiLevelType w:val="singleLevel"/>
    <w:tmpl w:val="107AD17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5C"/>
    <w:rsid w:val="00487B84"/>
    <w:rsid w:val="0051050F"/>
    <w:rsid w:val="0071313A"/>
    <w:rsid w:val="00BF3E5C"/>
    <w:rsid w:val="00ED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5C"/>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F3E5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F3E5C"/>
    <w:rPr>
      <w:rFonts w:ascii="Times New Roman" w:eastAsia="宋体" w:hAnsi="Times New Roman" w:cs="Times New Roman"/>
      <w:sz w:val="18"/>
      <w:szCs w:val="18"/>
    </w:rPr>
  </w:style>
  <w:style w:type="paragraph" w:styleId="a4">
    <w:name w:val="Balloon Text"/>
    <w:basedOn w:val="a"/>
    <w:link w:val="Char0"/>
    <w:uiPriority w:val="99"/>
    <w:semiHidden/>
    <w:unhideWhenUsed/>
    <w:rsid w:val="0051050F"/>
    <w:rPr>
      <w:sz w:val="18"/>
      <w:szCs w:val="18"/>
    </w:rPr>
  </w:style>
  <w:style w:type="character" w:customStyle="1" w:styleId="Char0">
    <w:name w:val="批注框文本 Char"/>
    <w:basedOn w:val="a0"/>
    <w:link w:val="a4"/>
    <w:uiPriority w:val="99"/>
    <w:semiHidden/>
    <w:rsid w:val="005105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5C"/>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F3E5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BF3E5C"/>
    <w:rPr>
      <w:rFonts w:ascii="Times New Roman" w:eastAsia="宋体" w:hAnsi="Times New Roman" w:cs="Times New Roman"/>
      <w:sz w:val="18"/>
      <w:szCs w:val="18"/>
    </w:rPr>
  </w:style>
  <w:style w:type="paragraph" w:styleId="a4">
    <w:name w:val="Balloon Text"/>
    <w:basedOn w:val="a"/>
    <w:link w:val="Char0"/>
    <w:uiPriority w:val="99"/>
    <w:semiHidden/>
    <w:unhideWhenUsed/>
    <w:rsid w:val="0051050F"/>
    <w:rPr>
      <w:sz w:val="18"/>
      <w:szCs w:val="18"/>
    </w:rPr>
  </w:style>
  <w:style w:type="character" w:customStyle="1" w:styleId="Char0">
    <w:name w:val="批注框文本 Char"/>
    <w:basedOn w:val="a0"/>
    <w:link w:val="a4"/>
    <w:uiPriority w:val="99"/>
    <w:semiHidden/>
    <w:rsid w:val="005105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 yang</dc:creator>
  <cp:keywords/>
  <dc:description/>
  <cp:lastModifiedBy>dell</cp:lastModifiedBy>
  <cp:revision>3</cp:revision>
  <cp:lastPrinted>2018-11-12T01:37:00Z</cp:lastPrinted>
  <dcterms:created xsi:type="dcterms:W3CDTF">2018-11-09T06:57:00Z</dcterms:created>
  <dcterms:modified xsi:type="dcterms:W3CDTF">2018-11-12T01:37:00Z</dcterms:modified>
</cp:coreProperties>
</file>